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7509A89C" w:rsidR="00B702D2" w:rsidRPr="008B5521" w:rsidRDefault="00BB5E7C" w:rsidP="00D33D99">
      <w:r w:rsidRPr="008B5521">
        <w:rPr>
          <w:rFonts w:cstheme="minorHAnsi"/>
          <w:szCs w:val="18"/>
        </w:rPr>
        <w:t xml:space="preserve">Příloha č. </w:t>
      </w:r>
      <w:r w:rsidR="004D0435">
        <w:rPr>
          <w:rFonts w:cstheme="minorHAnsi"/>
          <w:szCs w:val="18"/>
        </w:rPr>
        <w:t>2</w:t>
      </w:r>
      <w:r w:rsidR="005E6DAB" w:rsidRPr="008B5521">
        <w:rPr>
          <w:rFonts w:cstheme="minorHAnsi"/>
          <w:szCs w:val="18"/>
        </w:rPr>
        <w:t xml:space="preserve"> </w:t>
      </w:r>
      <w:r w:rsidR="004D0435">
        <w:rPr>
          <w:rFonts w:cstheme="minorHAnsi"/>
          <w:bCs/>
          <w:szCs w:val="18"/>
        </w:rPr>
        <w:t xml:space="preserve">Výzvy k podání </w:t>
      </w:r>
      <w:r w:rsidR="007C3112">
        <w:rPr>
          <w:rFonts w:cstheme="minorHAnsi"/>
          <w:bCs/>
          <w:szCs w:val="18"/>
        </w:rPr>
        <w:t xml:space="preserve">nabídky – Část 1 – BECHEM </w:t>
      </w:r>
    </w:p>
    <w:p w14:paraId="164DA97C" w14:textId="5B3C2996"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4D0435">
        <w:t xml:space="preserve">mazacího prostředku Bechem Ecorail </w:t>
      </w:r>
      <w:proofErr w:type="gramStart"/>
      <w:r w:rsidR="004D0435">
        <w:t>2012 - 2024</w:t>
      </w:r>
      <w:proofErr w:type="gramEnd"/>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4D0435">
        <w:rPr>
          <w:rFonts w:cstheme="minorHAnsi"/>
          <w:szCs w:val="18"/>
        </w:rPr>
        <w:t>uzavřená analogicky k 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EE5AE6">
      <w:pPr>
        <w:pStyle w:val="Identifikace"/>
      </w:pPr>
      <w:r w:rsidRPr="008B5521">
        <w:t>Zastoupena:</w:t>
      </w:r>
      <w:r w:rsidR="005675BC">
        <w:tab/>
      </w:r>
      <w:r w:rsidR="004D0435" w:rsidRPr="004D0435">
        <w:t>Ing. Karlem Švejdou, MBA, náměstkem GŘ pro provozuschopnost dráhy</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031A7CD4"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30101F" w:rsidRPr="004D0435">
        <w:t>výběrového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30101F" w:rsidRPr="004D0435">
        <w:t>výběrovému</w:t>
      </w:r>
      <w:r w:rsidR="000A53AE" w:rsidRPr="004D0435">
        <w:t xml:space="preserve"> řízení na </w:t>
      </w:r>
      <w:r w:rsidR="005E6DAB" w:rsidRPr="004D0435">
        <w:t>podlimitní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v</w:t>
      </w:r>
      <w:r w:rsidR="007A7E29">
        <w:t xml:space="preserve">e </w:t>
      </w:r>
      <w:r w:rsidR="007A7E29">
        <w:lastRenderedPageBreak/>
        <w:t>výběrovém řízení</w:t>
      </w:r>
      <w:r w:rsidR="00030FD1" w:rsidRPr="004D0435">
        <w:t xml:space="preserve"> </w:t>
      </w:r>
      <w:r w:rsidRPr="004D0435">
        <w:t xml:space="preserve">s názvem </w:t>
      </w:r>
      <w:r w:rsidR="004D0435" w:rsidRPr="004D0435">
        <w:t>„Mazací prostředky Bechem a PRO-LONG – 2024“</w:t>
      </w:r>
      <w:r w:rsidRPr="004D0435">
        <w:t xml:space="preserve">, č.j. </w:t>
      </w:r>
      <w:r w:rsidR="004D0435" w:rsidRPr="004D0435">
        <w:t>15053/2024-SŽ-GŘ-O8</w:t>
      </w:r>
      <w:r w:rsidRPr="004D0435">
        <w:t xml:space="preserve"> (dále </w:t>
      </w:r>
      <w:r w:rsidR="0094477D" w:rsidRPr="004D0435">
        <w:t>jen „</w:t>
      </w:r>
      <w:r w:rsidR="00A82C34" w:rsidRPr="004D0435">
        <w:rPr>
          <w:rStyle w:val="Kurzvatun0"/>
        </w:rPr>
        <w:t>V</w:t>
      </w:r>
      <w:r w:rsidR="0030101F" w:rsidRPr="004D0435">
        <w:rPr>
          <w:rStyle w:val="Kurzvatun0"/>
        </w:rPr>
        <w:t>ýběrové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A82C34" w:rsidRPr="004D0435">
        <w:t>V</w:t>
      </w:r>
      <w:r w:rsidR="0030101F" w:rsidRPr="004D0435">
        <w:t>ýběrového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2C6544">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6DA58323" w14:textId="77777777" w:rsidR="00565B3E" w:rsidRDefault="00565B3E" w:rsidP="00565B3E">
      <w:pPr>
        <w:pStyle w:val="1odstavec"/>
      </w:pPr>
      <w:r w:rsidRPr="0028027F">
        <w:t xml:space="preserve">Předmětem dílčích veřejných zakázek je zabezpečení </w:t>
      </w:r>
      <w:r>
        <w:t xml:space="preserve">dodávek mazacího prostředku </w:t>
      </w:r>
      <w:r w:rsidRPr="0028027F">
        <w:t>k ošetřování kluzných stolič</w:t>
      </w:r>
      <w:r>
        <w:t>ek a závěrů výhybek Bechem Ecorail 2012.</w:t>
      </w:r>
    </w:p>
    <w:p w14:paraId="01A4C12B" w14:textId="77777777" w:rsidR="00565B3E" w:rsidRPr="0028027F" w:rsidRDefault="00565B3E" w:rsidP="00565B3E">
      <w:pPr>
        <w:pStyle w:val="1odstavec"/>
      </w:pPr>
      <w:r w:rsidRPr="0028027F">
        <w:t xml:space="preserve">Technickou specifikací dodávek </w:t>
      </w:r>
      <w:r>
        <w:t>mazacího prostředku</w:t>
      </w:r>
      <w:r w:rsidRPr="0028027F">
        <w:t xml:space="preserve"> jsou Technické podmínky dodací (dále jen „TPD“), uzavřené mezi Kupujícím a Prodávajícím (případně výrobcem) </w:t>
      </w:r>
      <w:r w:rsidRPr="0028027F">
        <w:rPr>
          <w:highlight w:val="yellow"/>
        </w:rPr>
        <w:t xml:space="preserve">pod č.j. </w:t>
      </w:r>
      <w:proofErr w:type="gramStart"/>
      <w:r w:rsidRPr="0028027F">
        <w:rPr>
          <w:highlight w:val="yellow"/>
        </w:rPr>
        <w:t>…….</w:t>
      </w:r>
      <w:proofErr w:type="gramEnd"/>
      <w:r w:rsidRPr="0028027F">
        <w:rPr>
          <w:highlight w:val="yellow"/>
        </w:rPr>
        <w:t>(doplní Prodávající)</w:t>
      </w:r>
      <w:r w:rsidRPr="0028027F">
        <w:t>, včetně jejich dodatků a změn v platném znění a technické listy k</w:t>
      </w:r>
      <w:r>
        <w:t> mazacímu prostředku</w:t>
      </w:r>
      <w:r w:rsidRPr="0028027F">
        <w:t xml:space="preserve">, které jsou uvedeny v příloze č. </w:t>
      </w:r>
      <w:r w:rsidRPr="007A7E29">
        <w:t>3</w:t>
      </w:r>
      <w:r w:rsidRPr="0028027F">
        <w:t xml:space="preserve"> této rámcové dohody.</w:t>
      </w:r>
    </w:p>
    <w:p w14:paraId="28932E05" w14:textId="77777777" w:rsidR="00565B3E" w:rsidRPr="0028027F" w:rsidRDefault="00565B3E" w:rsidP="00565B3E">
      <w:pPr>
        <w:pStyle w:val="1odstavec"/>
      </w:pPr>
      <w:r w:rsidRPr="0028027F">
        <w:t xml:space="preserve">Jednotlivé položky předmětu této rámcové dohody jsou uvedeny v příloze č. </w:t>
      </w:r>
      <w:r w:rsidRPr="007A7E29">
        <w:t>2</w:t>
      </w:r>
      <w:r w:rsidRPr="0028027F">
        <w:t xml:space="preserve"> této rámcové dohody.</w:t>
      </w:r>
    </w:p>
    <w:p w14:paraId="31592D6A" w14:textId="77777777" w:rsidR="00565B3E" w:rsidRPr="0028027F" w:rsidRDefault="00565B3E" w:rsidP="00565B3E">
      <w:pPr>
        <w:pStyle w:val="1odstavec"/>
      </w:pPr>
      <w:r w:rsidRPr="0028027F">
        <w:t>Plnění této rámcové dohody musí být v souladu s TPD. Nesplnění tohoto ustanovení bude znamenat neposkytnutí součinnosti ze strany Prodávajícího a je důvodem pro vypovězení rámcové dohody.</w:t>
      </w:r>
    </w:p>
    <w:p w14:paraId="4530184E" w14:textId="0E965BD7" w:rsidR="00565B3E" w:rsidRPr="0028027F" w:rsidRDefault="00565B3E" w:rsidP="00565B3E">
      <w:pPr>
        <w:pStyle w:val="1odstavec"/>
      </w:pPr>
      <w:r w:rsidRPr="0028027F">
        <w:t xml:space="preserve">Prodávající odpovídá za to, že </w:t>
      </w:r>
      <w:r>
        <w:t xml:space="preserve">dodaný mazací prostředek plně odpovídá </w:t>
      </w:r>
      <w:r w:rsidRPr="0028027F">
        <w:t>požadavkům zákona č. 22/1997 Sb., o technických požadavcích na výrobky a o změně a doplnění některých zákonů, ve znění pozdějších předpisů, a disponuje platnými certifikáty a osvědčeními potvrzujícími, že dodan</w:t>
      </w:r>
      <w:r>
        <w:t>ý mazací prostředek</w:t>
      </w:r>
      <w:r w:rsidRPr="0028027F">
        <w:t xml:space="preserve"> splňuj</w:t>
      </w:r>
      <w:r>
        <w:t>e</w:t>
      </w:r>
      <w:r w:rsidRPr="0028027F">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612153E5" w14:textId="77777777" w:rsidR="00565B3E" w:rsidRPr="0028027F" w:rsidRDefault="00565B3E" w:rsidP="00565B3E">
      <w:pPr>
        <w:pStyle w:val="1odstavec"/>
      </w:pPr>
      <w:r w:rsidRPr="0028027F">
        <w:t xml:space="preserve">Kupujícímu musí být umožněno ověření kvality </w:t>
      </w:r>
      <w:r>
        <w:t>mazacího prostředku</w:t>
      </w:r>
      <w:r w:rsidRPr="0028027F">
        <w:t xml:space="preserve"> pověřeným útvarem dle příslušných TPD. Ke každé dodávce </w:t>
      </w:r>
      <w:r>
        <w:t>mazacího prostředku</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0"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r w:rsidRPr="008D37FE">
        <w:rPr>
          <w:highlight w:val="green"/>
        </w:rPr>
        <w:t>[DOPLNÍ PRODÁVAJÍCÍ]</w:t>
      </w:r>
    </w:p>
    <w:p w14:paraId="164DA9A9" w14:textId="277FD958" w:rsidR="00893290" w:rsidRPr="008B5521" w:rsidRDefault="00893290" w:rsidP="00DE7B97">
      <w:pPr>
        <w:pStyle w:val="1odstavec"/>
        <w:numPr>
          <w:ilvl w:val="0"/>
          <w:numId w:val="49"/>
        </w:numPr>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12B706BF" w:rsidR="00893290" w:rsidRPr="00D35186" w:rsidRDefault="00893290" w:rsidP="00EE5AE6">
      <w:pPr>
        <w:pStyle w:val="aodst0"/>
      </w:pPr>
      <w:r w:rsidRPr="00D35186">
        <w:t xml:space="preserve">cenu za plnění dílčí smlouvy vypočtenou dle jednotkových cen v příloze č. </w:t>
      </w:r>
      <w:r w:rsidR="007A7E29">
        <w:t>2</w:t>
      </w:r>
      <w:r w:rsidR="007465F2" w:rsidRPr="00D35186">
        <w:t xml:space="preserve"> </w:t>
      </w:r>
      <w:r w:rsidRPr="00D35186">
        <w:t xml:space="preserve">této </w:t>
      </w:r>
      <w:r w:rsidR="00881560" w:rsidRPr="00D35186">
        <w:t>Rámcové</w:t>
      </w:r>
      <w:r w:rsidRPr="00D35186">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89E2666" w:rsidR="00D702F8" w:rsidRDefault="00D702F8" w:rsidP="00D702F8">
      <w:pPr>
        <w:pStyle w:val="1odstavec"/>
      </w:pPr>
      <w:r w:rsidRPr="008B5521">
        <w:t xml:space="preserve">Prodávající je povinen na objednávku Kupujícího reagovat písemně na emailovou adresu Kupujícího uvedenou v odstavci 2 tohoto článku nejpozději </w:t>
      </w:r>
      <w:r w:rsidRPr="00DE7B97">
        <w:t xml:space="preserve">do </w:t>
      </w:r>
      <w:r w:rsidR="0058567D" w:rsidRPr="00DE7B97">
        <w:t>2</w:t>
      </w:r>
      <w:r w:rsidRPr="00DE7B97">
        <w:t xml:space="preserve"> pracovních</w:t>
      </w:r>
      <w:r w:rsidRPr="008B5521">
        <w:t xml:space="preserve">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42142E96" w:rsidR="00630788" w:rsidRPr="0058567D" w:rsidRDefault="00630788" w:rsidP="00630788">
      <w:pPr>
        <w:pStyle w:val="1odstavec"/>
      </w:pPr>
      <w:r w:rsidRPr="0058567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8567D">
        <w:t>ž</w:t>
      </w:r>
      <w:r w:rsidRPr="0058567D">
        <w:t xml:space="preserve"> </w:t>
      </w:r>
      <w:r w:rsidR="002C6544">
        <w:t>5</w:t>
      </w:r>
      <w:r w:rsidR="002C6544" w:rsidRPr="0058567D">
        <w:t xml:space="preserve"> </w:t>
      </w:r>
      <w:r w:rsidRPr="0058567D">
        <w:t xml:space="preserve">této dohody, přičemž výzvou k uzavření dílčí smlouvy se rozumí objednávka. Prodávající je povinen výzvu k uzavření dílčí smlouvy akceptovat a smlouvu uzavřít ve lhůtě uvedené v článku II. odst. </w:t>
      </w:r>
      <w:r w:rsidR="002C6544">
        <w:t>5</w:t>
      </w:r>
      <w:r w:rsidR="002C6544" w:rsidRPr="0058567D">
        <w:t xml:space="preserve"> </w:t>
      </w:r>
      <w:r w:rsidRPr="0058567D">
        <w:t xml:space="preserve">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4CFEF57E" w:rsidR="00D608AA" w:rsidRPr="00D35186"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D35186" w:rsidRPr="00D35186">
        <w:rPr>
          <w:rFonts w:eastAsiaTheme="majorEastAsia"/>
          <w:bCs/>
        </w:rPr>
        <w:t>18</w:t>
      </w:r>
      <w:r w:rsidRPr="00D35186">
        <w:rPr>
          <w:rFonts w:eastAsiaTheme="majorEastAsia"/>
          <w:bCs/>
        </w:rPr>
        <w:t xml:space="preserve"> měsíců od nabytí její účinnosti, </w:t>
      </w:r>
      <w:r w:rsidRPr="00D35186">
        <w:t xml:space="preserve">anebo do doby uzavření dílčí smlouvy, na </w:t>
      </w:r>
      <w:proofErr w:type="gramStart"/>
      <w:r w:rsidRPr="00D35186">
        <w:t>základě</w:t>
      </w:r>
      <w:proofErr w:type="gramEnd"/>
      <w:r w:rsidRPr="00D35186">
        <w:t xml:space="preserve"> které dojde k</w:t>
      </w:r>
      <w:r w:rsidR="000D441F" w:rsidRPr="00D35186">
        <w:t> </w:t>
      </w:r>
      <w:r w:rsidRPr="00D35186">
        <w:t xml:space="preserve">objednání zboží dle této </w:t>
      </w:r>
      <w:r w:rsidR="00881560" w:rsidRPr="00D35186">
        <w:t>Rámcové</w:t>
      </w:r>
      <w:r w:rsidRPr="00D35186">
        <w:t xml:space="preserve"> dohody (v součtu všech dílčích smluv) v</w:t>
      </w:r>
      <w:r w:rsidR="000D441F" w:rsidRPr="00D35186">
        <w:t> </w:t>
      </w:r>
      <w:r w:rsidRPr="00D35186">
        <w:t xml:space="preserve">částce převyšující </w:t>
      </w:r>
      <w:r w:rsidR="007A7E29" w:rsidRPr="00D35186">
        <w:t>3.445.000,-</w:t>
      </w:r>
      <w:r w:rsidR="007A7E29">
        <w:t xml:space="preserve"> </w:t>
      </w:r>
      <w:r w:rsidRPr="00D35186">
        <w:t>Kč</w:t>
      </w:r>
      <w:r w:rsidRPr="00D35186">
        <w:rPr>
          <w:b/>
        </w:rPr>
        <w:t xml:space="preserve"> </w:t>
      </w:r>
      <w:r w:rsidRPr="00D35186">
        <w:t>bez DPH. V</w:t>
      </w:r>
      <w:r w:rsidR="000D441F" w:rsidRPr="00D35186">
        <w:t> </w:t>
      </w:r>
      <w:r w:rsidRPr="00D35186">
        <w:t>případě, že dojde k</w:t>
      </w:r>
      <w:r w:rsidR="000D441F" w:rsidRPr="00D35186">
        <w:t> </w:t>
      </w:r>
      <w:r w:rsidRPr="00D35186">
        <w:t xml:space="preserve">ukončení účinnosti této </w:t>
      </w:r>
      <w:r w:rsidR="00881560" w:rsidRPr="00D35186">
        <w:t>Rámcové</w:t>
      </w:r>
      <w:r w:rsidRPr="00D35186">
        <w:t xml:space="preserve"> dohody dle předchozí věty, nemá toto ukončení vliv na účinnost dílčích smluv, které byly na základě této </w:t>
      </w:r>
      <w:r w:rsidR="00881560" w:rsidRPr="00D35186">
        <w:t>Rámcové</w:t>
      </w:r>
      <w:r w:rsidRPr="00D35186">
        <w:t xml:space="preserve"> dohody uzavřeny. Kupující není oprávněn na základě této </w:t>
      </w:r>
      <w:r w:rsidR="00881560" w:rsidRPr="00D35186">
        <w:t>Rámcové</w:t>
      </w:r>
      <w:r w:rsidRPr="00D35186">
        <w:t xml:space="preserve"> dohody učinit objednávky (v součtu všech objednávek) přesahující částku </w:t>
      </w:r>
      <w:r w:rsidR="00D35186" w:rsidRPr="00D35186">
        <w:t>3.450.000</w:t>
      </w:r>
      <w:r w:rsidRPr="00D35186">
        <w:t>,-Kč</w:t>
      </w:r>
      <w:r w:rsidRPr="00D35186">
        <w:rPr>
          <w:b/>
        </w:rPr>
        <w:t xml:space="preserve"> </w:t>
      </w:r>
      <w:r w:rsidRPr="00D35186">
        <w:t>bez DPH</w:t>
      </w:r>
      <w:r w:rsidRPr="00D35186">
        <w:rPr>
          <w:rFonts w:eastAsiaTheme="majorEastAsia"/>
          <w:bCs/>
        </w:rPr>
        <w:t>.</w:t>
      </w:r>
    </w:p>
    <w:p w14:paraId="164DA9BA" w14:textId="2590437C" w:rsidR="00062B10" w:rsidRDefault="00D608AA" w:rsidP="00E003B8">
      <w:pPr>
        <w:pStyle w:val="1odstavec"/>
        <w:numPr>
          <w:ilvl w:val="0"/>
          <w:numId w:val="48"/>
        </w:numPr>
      </w:pPr>
      <w:r w:rsidRPr="00D35186">
        <w:t>Míst</w:t>
      </w:r>
      <w:r w:rsidR="00474AD3" w:rsidRPr="00D35186">
        <w:t>o</w:t>
      </w:r>
      <w:r w:rsidRPr="00D35186">
        <w:t xml:space="preserve"> plnění dílčích smluv je zpravidla uvedeno v</w:t>
      </w:r>
      <w:r w:rsidR="000D441F" w:rsidRPr="00D35186">
        <w:t> </w:t>
      </w:r>
      <w:r w:rsidRPr="00D35186">
        <w:t xml:space="preserve">dílčí smlouvě. </w:t>
      </w:r>
      <w:r w:rsidR="00062B10" w:rsidRPr="00D35186">
        <w:rPr>
          <w:rFonts w:eastAsiaTheme="majorEastAsia"/>
          <w:bCs/>
        </w:rPr>
        <w:t>Dopravu požadovaného zboží do místa plnění zajišťuje Prodávající.</w:t>
      </w:r>
      <w:r w:rsidR="00062B10" w:rsidRPr="00D35186">
        <w:t xml:space="preserve"> </w:t>
      </w:r>
    </w:p>
    <w:p w14:paraId="1BE5EFEF" w14:textId="77777777" w:rsidR="00D35186" w:rsidRPr="00DE7B97" w:rsidRDefault="00D35186" w:rsidP="00DE7B97">
      <w:pPr>
        <w:pStyle w:val="1odstavec"/>
        <w:numPr>
          <w:ilvl w:val="0"/>
          <w:numId w:val="48"/>
        </w:numPr>
        <w:spacing w:line="276" w:lineRule="auto"/>
      </w:pPr>
      <w:r w:rsidRPr="00D35186">
        <w:t>Místem plnění jsou organizační složky Kupujícího uvedené v Příloze č</w:t>
      </w:r>
      <w:r w:rsidRPr="00DE7B97">
        <w:t>. 4 této Rámcové dohody.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2A79C0CB" w14:textId="77777777" w:rsidR="00D35186" w:rsidRPr="00D35186" w:rsidRDefault="00D35186" w:rsidP="00D35186">
      <w:pPr>
        <w:pStyle w:val="1odstavec"/>
        <w:numPr>
          <w:ilvl w:val="0"/>
          <w:numId w:val="0"/>
        </w:numPr>
        <w:ind w:left="567"/>
      </w:pP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25266897"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7F4DB0">
        <w:t>3</w:t>
      </w:r>
      <w:r w:rsidR="007F4DB0" w:rsidRPr="008B5521">
        <w:t xml:space="preserve"> </w:t>
      </w:r>
      <w:r w:rsidRPr="008B5521">
        <w:t>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548D2C95" w:rsidR="00062B10"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2C6544">
        <w:t>1</w:t>
      </w:r>
      <w:r w:rsidR="002C6544" w:rsidRPr="008B5521">
        <w:t xml:space="preserve"> </w:t>
      </w:r>
      <w:r w:rsidR="006A4A0B" w:rsidRPr="008B5521">
        <w:t>této dohody či dokumentů, na které příloha č. 1 odkazuje</w:t>
      </w:r>
      <w:r w:rsidRPr="008B5521">
        <w:t xml:space="preserve">, po kontrole a přepočtu zboží. </w:t>
      </w:r>
    </w:p>
    <w:p w14:paraId="2C63194C" w14:textId="77777777" w:rsidR="007F4DB0" w:rsidRPr="007F4DB0" w:rsidRDefault="007F4DB0" w:rsidP="007F4DB0">
      <w:pPr>
        <w:pStyle w:val="1odstavec"/>
      </w:pPr>
      <w:r w:rsidRPr="007F4DB0">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164DA9BE" w14:textId="3E29D598"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o datu a době dodání zboží (v pracovní dny v</w:t>
      </w:r>
      <w:r w:rsidR="000D441F">
        <w:t> </w:t>
      </w:r>
      <w:r w:rsidRPr="008B5521">
        <w:t xml:space="preserve">čase </w:t>
      </w:r>
      <w:r w:rsidR="007F4DB0" w:rsidRPr="00DE7B97">
        <w:t xml:space="preserve">08:00 </w:t>
      </w:r>
      <w:r w:rsidRPr="00DE7B97">
        <w:t xml:space="preserve">– </w:t>
      </w:r>
      <w:r w:rsidR="007F4DB0" w:rsidRPr="00DE7B97">
        <w:t xml:space="preserve">13:00 </w:t>
      </w:r>
      <w:r w:rsidRPr="00DE7B97">
        <w:t>hod.</w:t>
      </w:r>
      <w:r w:rsidRPr="008B5521">
        <w:t>).</w:t>
      </w:r>
      <w:r w:rsidR="00D034CB" w:rsidRPr="008B5521">
        <w:t xml:space="preserve"> K</w:t>
      </w:r>
      <w:r w:rsidR="000D441F">
        <w:t> </w:t>
      </w:r>
      <w:r w:rsidR="00D034CB" w:rsidRPr="008B5521">
        <w:t>předání a převzetí zboží probíhá v</w:t>
      </w:r>
      <w:r w:rsidR="000D441F">
        <w:t> </w:t>
      </w:r>
      <w:r w:rsidR="00D034CB" w:rsidRPr="008B5521">
        <w:t xml:space="preserve">rámci předávacího řízení potvrzením Dodacího listu ze strany Kupujícího a Prodávajícího. </w:t>
      </w:r>
    </w:p>
    <w:p w14:paraId="164DA9BF" w14:textId="65F3ED3A" w:rsidR="00062B10" w:rsidRPr="00DE7B97" w:rsidRDefault="00062B10" w:rsidP="00EE5AE6">
      <w:pPr>
        <w:pStyle w:val="1odstavec"/>
      </w:pPr>
      <w:r w:rsidRPr="00DE7B97">
        <w:t>Pojištění se u zboží nevyžaduje.</w:t>
      </w:r>
      <w:r w:rsidR="00685D2E" w:rsidRPr="00DE7B97">
        <w:t xml:space="preserve"> </w:t>
      </w:r>
    </w:p>
    <w:p w14:paraId="164DA9C1" w14:textId="77777777" w:rsidR="00211202" w:rsidRPr="008B5521" w:rsidRDefault="008B5521" w:rsidP="00EE5AE6">
      <w:pPr>
        <w:pStyle w:val="Inadpis"/>
      </w:pPr>
      <w:r w:rsidRPr="008B5521">
        <w:t>CENA DODÁVEK A PLATEBNÍ PODMÍNKY</w:t>
      </w:r>
    </w:p>
    <w:p w14:paraId="164DA9C2" w14:textId="61F407A3" w:rsidR="00CB26F1" w:rsidRPr="008B5521" w:rsidRDefault="00496E5D" w:rsidP="00EE5AE6">
      <w:pPr>
        <w:pStyle w:val="1odstavec"/>
        <w:numPr>
          <w:ilvl w:val="0"/>
          <w:numId w:val="25"/>
        </w:numPr>
      </w:pPr>
      <w:r w:rsidRPr="00DE7B97">
        <w:t>Cena za plnění dílčí smlouvy je zpravidla uvedena v</w:t>
      </w:r>
      <w:r w:rsidR="000D441F" w:rsidRPr="00DE7B97">
        <w:t> </w:t>
      </w:r>
      <w:r w:rsidRPr="00DE7B97">
        <w:t>dílčí smlouvě, přičemž v</w:t>
      </w:r>
      <w:r w:rsidR="000D441F" w:rsidRPr="00DE7B97">
        <w:t> </w:t>
      </w:r>
      <w:r w:rsidRPr="00DE7B97">
        <w:t>případě, že v</w:t>
      </w:r>
      <w:r w:rsidR="000D441F" w:rsidRPr="00DE7B97">
        <w:t> </w:t>
      </w:r>
      <w:r w:rsidRPr="00DE7B97">
        <w:t>dílčí smlouvě uvedena není, je cena za plnění dílčí smlouvy</w:t>
      </w:r>
      <w:r w:rsidR="007804E9" w:rsidRPr="00DE7B97">
        <w:t xml:space="preserve"> stanovena</w:t>
      </w:r>
      <w:r w:rsidRPr="00DE7B97">
        <w:t xml:space="preserve"> dle </w:t>
      </w:r>
      <w:r w:rsidR="007804E9" w:rsidRPr="00DE7B97">
        <w:t>jednotkov</w:t>
      </w:r>
      <w:r w:rsidR="007804E9">
        <w:t>é</w:t>
      </w:r>
      <w:r w:rsidR="007804E9" w:rsidRPr="00DE7B97">
        <w:t xml:space="preserve"> </w:t>
      </w:r>
      <w:r w:rsidRPr="00DE7B97">
        <w:t>cen</w:t>
      </w:r>
      <w:r w:rsidR="007804E9">
        <w:t>y</w:t>
      </w:r>
      <w:r w:rsidRPr="00DE7B97">
        <w:t xml:space="preserve"> v</w:t>
      </w:r>
      <w:r w:rsidR="000D441F" w:rsidRPr="00DE7B97">
        <w:t> </w:t>
      </w:r>
      <w:r w:rsidRPr="00DE7B97">
        <w:t xml:space="preserve">příloze č. </w:t>
      </w:r>
      <w:r w:rsidR="00683467">
        <w:t>2</w:t>
      </w:r>
      <w:bookmarkStart w:id="1" w:name="_GoBack"/>
      <w:bookmarkEnd w:id="1"/>
      <w:r w:rsidR="007465F2" w:rsidRPr="00DE7B97">
        <w:t xml:space="preserve"> </w:t>
      </w:r>
      <w:r w:rsidRPr="00DE7B97">
        <w:t xml:space="preserve">této </w:t>
      </w:r>
      <w:r w:rsidR="00881560" w:rsidRPr="00DE7B97">
        <w:t>Rámcové</w:t>
      </w:r>
      <w:r w:rsidRPr="00DE7B97">
        <w:t xml:space="preserve"> dohody a množství skutečně dodaného zboží Kupujícímu. </w:t>
      </w:r>
    </w:p>
    <w:p w14:paraId="164DA9C3" w14:textId="46CEEC7B" w:rsidR="00CB26F1" w:rsidRPr="008B5521" w:rsidRDefault="007804E9" w:rsidP="00E003B8">
      <w:pPr>
        <w:pStyle w:val="1odstavec"/>
        <w:numPr>
          <w:ilvl w:val="0"/>
          <w:numId w:val="47"/>
        </w:numPr>
      </w:pPr>
      <w:r>
        <w:t>C</w:t>
      </w:r>
      <w:r w:rsidR="00E6302B" w:rsidRPr="00DE7B97">
        <w:t>en</w:t>
      </w:r>
      <w:r>
        <w:t>a</w:t>
      </w:r>
      <w:r w:rsidR="00E6302B" w:rsidRPr="00DE7B97">
        <w:t xml:space="preserve"> </w:t>
      </w:r>
      <w:r w:rsidRPr="00DE7B97">
        <w:t>uveden</w:t>
      </w:r>
      <w:r>
        <w:t>á</w:t>
      </w:r>
      <w:r w:rsidRPr="00DE7B97">
        <w:t xml:space="preserve"> </w:t>
      </w:r>
      <w:r w:rsidR="00CB26F1" w:rsidRPr="00DE7B97">
        <w:t>v</w:t>
      </w:r>
      <w:r w:rsidR="000D441F" w:rsidRPr="00DE7B97">
        <w:t> </w:t>
      </w:r>
      <w:r w:rsidR="007465F2" w:rsidRPr="00DE7B97">
        <w:t>jednotkovém ceníku</w:t>
      </w:r>
      <w:r w:rsidR="00CB26F1" w:rsidRPr="00DE7B97">
        <w:t xml:space="preserve">, který je přílohou č. </w:t>
      </w:r>
      <w:r w:rsidRPr="00DE7B97">
        <w:t xml:space="preserve">2 </w:t>
      </w:r>
      <w:r w:rsidR="00CB26F1" w:rsidRPr="00DE7B97">
        <w:t>této Rámcové dohody</w:t>
      </w:r>
      <w:r w:rsidR="00E6302B" w:rsidRPr="00DE7B97">
        <w:t xml:space="preserve">, </w:t>
      </w:r>
      <w:r w:rsidRPr="00DE7B97">
        <w:t>j</w:t>
      </w:r>
      <w:r>
        <w:t>e</w:t>
      </w:r>
      <w:r w:rsidRPr="00DE7B97">
        <w:t xml:space="preserve"> cen</w:t>
      </w:r>
      <w:r>
        <w:t>ou</w:t>
      </w:r>
      <w:r w:rsidRPr="00DE7B97">
        <w:t xml:space="preserve"> konečn</w:t>
      </w:r>
      <w:r>
        <w:t>ou</w:t>
      </w:r>
      <w:r w:rsidR="00CB26F1" w:rsidRPr="00DE7B97">
        <w:t>, zahrnující veškeré náklady Prodávajícího, včetně nákladů na třídění, balení, odběr prázdných obalů a jejich likvidaci, nakládání, dopravy do místa plnění, vyložení v</w:t>
      </w:r>
      <w:r w:rsidR="000D441F" w:rsidRPr="00DE7B97">
        <w:t> </w:t>
      </w:r>
      <w:r w:rsidR="00CB26F1" w:rsidRPr="00DE7B97">
        <w:t>místě plnění, včetně dalších nákladů Prodávajícího spojených s</w:t>
      </w:r>
      <w:r w:rsidR="000D441F" w:rsidRPr="00DE7B97">
        <w:t> </w:t>
      </w:r>
      <w:r w:rsidR="00CB26F1" w:rsidRPr="00DE7B97">
        <w:t>plněním veřejné zakázky.</w:t>
      </w:r>
    </w:p>
    <w:p w14:paraId="164DA9C5" w14:textId="3526549F" w:rsidR="00CB26F1" w:rsidRPr="00DE7B97"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1C01D4">
        <w:t>účetního/</w:t>
      </w:r>
      <w:r w:rsidRPr="001C01D4">
        <w:t>daňového</w:t>
      </w:r>
      <w:r w:rsidRPr="008B5521">
        <w:t xml:space="preserve"> dokladu (faktury) vystaveného Prodávajícím. Právo fakturovat vzniká Prodávajícímu </w:t>
      </w:r>
      <w:r w:rsidRPr="00DE7B97">
        <w:t xml:space="preserve">dnem převzetí </w:t>
      </w:r>
      <w:r w:rsidR="006007E5" w:rsidRPr="00DE7B97">
        <w:t>zboží Kupujícím</w:t>
      </w:r>
      <w:r w:rsidRPr="00DE7B97">
        <w:t xml:space="preserve">. Faktura musí mít náležitosti daňového dokladu, její přílohou musí být stejnopis </w:t>
      </w:r>
      <w:r w:rsidR="00A606A2" w:rsidRPr="00DE7B97">
        <w:t>D</w:t>
      </w:r>
      <w:r w:rsidRPr="00DE7B97">
        <w:t>odacího listu s</w:t>
      </w:r>
      <w:r w:rsidR="000D441F" w:rsidRPr="00DE7B97">
        <w:t> </w:t>
      </w:r>
      <w:r w:rsidRPr="00DE7B97">
        <w:t xml:space="preserve">potvrzením převzetí dodávky bez jakýchkoli vad </w:t>
      </w:r>
      <w:r w:rsidR="00681F22" w:rsidRPr="00DE7B97">
        <w:t>Kupujícím</w:t>
      </w:r>
      <w:r w:rsidRPr="00DE7B97">
        <w:t>. V</w:t>
      </w:r>
      <w:r w:rsidR="000D441F" w:rsidRPr="00DE7B97">
        <w:t> </w:t>
      </w:r>
      <w:r w:rsidRPr="00DE7B97">
        <w:t>záhlaví faktury je nutno taktéž uvést číslo objednávky</w:t>
      </w:r>
      <w:r w:rsidR="00A606A2" w:rsidRPr="00DE7B97">
        <w:t xml:space="preserve"> a této </w:t>
      </w:r>
      <w:r w:rsidR="00881560" w:rsidRPr="00DE7B97">
        <w:t>Rámcové</w:t>
      </w:r>
      <w:r w:rsidR="00A606A2" w:rsidRPr="00DE7B97">
        <w:t xml:space="preserve"> dohody</w:t>
      </w:r>
      <w:r w:rsidR="004F3758" w:rsidRPr="00DE7B97">
        <w:t>.</w:t>
      </w:r>
    </w:p>
    <w:p w14:paraId="164DA9C6" w14:textId="055454EC" w:rsidR="00194826" w:rsidRPr="00DE7B97" w:rsidRDefault="00194826" w:rsidP="00EE5AE6">
      <w:pPr>
        <w:pStyle w:val="1odstavec"/>
      </w:pPr>
      <w:r w:rsidRPr="00DE7B97">
        <w:t>Daňové doklady, vč. všech příloh, budou zasílány pouze elektronicky na e-mailovou adresu pro doručování písemností. V</w:t>
      </w:r>
      <w:r w:rsidR="000D441F" w:rsidRPr="00DE7B97">
        <w:t> </w:t>
      </w:r>
      <w:r w:rsidRPr="00DE7B97">
        <w:t>případě technických problémů s</w:t>
      </w:r>
      <w:r w:rsidR="000D441F" w:rsidRPr="00DE7B97">
        <w:t> </w:t>
      </w:r>
      <w:r w:rsidRPr="00DE7B97">
        <w:t>vyhotovením elektronické podoby daňového dokladu či jeho příloh (např. nečitelnost skenu) bude objednatel akceptovat daňový doklad doručený v</w:t>
      </w:r>
      <w:r w:rsidR="000D441F" w:rsidRPr="00DE7B97">
        <w:t> </w:t>
      </w:r>
      <w:r w:rsidRPr="00DE7B97">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lastRenderedPageBreak/>
        <w:t>ODPOVĚDNOST ZA VADY, JAKOST, ZÁRUKA, ODPOVĚDNOST ZA ŠKODU</w:t>
      </w:r>
    </w:p>
    <w:p w14:paraId="164DA9C9" w14:textId="77777777" w:rsidR="00CB26F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5F85690D" w14:textId="77777777" w:rsidR="007F4DB0" w:rsidRPr="00D906BE" w:rsidRDefault="007F4DB0" w:rsidP="007F4DB0">
      <w:pPr>
        <w:pStyle w:val="Odstavecseseznamem"/>
        <w:numPr>
          <w:ilvl w:val="0"/>
          <w:numId w:val="24"/>
        </w:numPr>
        <w:contextualSpacing w:val="0"/>
        <w:rPr>
          <w:rFonts w:cstheme="minorHAnsi"/>
          <w:szCs w:val="18"/>
        </w:rPr>
      </w:pPr>
      <w:r w:rsidRPr="00D906BE">
        <w:rPr>
          <w:rFonts w:cstheme="minorHAnsi"/>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164DA9CA" w14:textId="06014FDF" w:rsidR="00CB26F1" w:rsidRDefault="00CB26F1" w:rsidP="007F4DB0">
      <w:pPr>
        <w:pStyle w:val="1odstavec"/>
        <w:numPr>
          <w:ilvl w:val="0"/>
          <w:numId w:val="24"/>
        </w:numPr>
      </w:pPr>
      <w:r w:rsidRPr="008B5521">
        <w:t xml:space="preserve">Záruční doba </w:t>
      </w:r>
      <w:r w:rsidR="007F4DB0" w:rsidRPr="007F4DB0">
        <w:t>za kvalitu mazacích prostředků, její délka, počátek jejího oběhu se řídí platnými TPD, přičemž platné TPD mají přednost před občanským zákoníkem</w:t>
      </w:r>
      <w:r w:rsidRPr="008B5521">
        <w:t>.</w:t>
      </w:r>
    </w:p>
    <w:p w14:paraId="71568FEE" w14:textId="77777777" w:rsidR="00192544" w:rsidRPr="004A7553" w:rsidRDefault="00192544" w:rsidP="00192544">
      <w:pPr>
        <w:pStyle w:val="Odstavecseseznamem"/>
        <w:numPr>
          <w:ilvl w:val="0"/>
          <w:numId w:val="24"/>
        </w:numPr>
        <w:rPr>
          <w:rFonts w:cstheme="minorHAnsi"/>
          <w:szCs w:val="18"/>
        </w:rPr>
      </w:pPr>
      <w:r w:rsidRPr="004A7553">
        <w:rPr>
          <w:rFonts w:cstheme="minorHAnsi"/>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B" w14:textId="50289B5E" w:rsidR="00CB26F1" w:rsidRDefault="00CB26F1" w:rsidP="00DE7B97">
      <w:pPr>
        <w:pStyle w:val="1odstavec"/>
        <w:numPr>
          <w:ilvl w:val="0"/>
          <w:numId w:val="24"/>
        </w:numPr>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6BF1697D" w14:textId="68F67585" w:rsidR="007F4DB0" w:rsidRPr="008B5521" w:rsidRDefault="007F4DB0" w:rsidP="007F4DB0">
      <w:pPr>
        <w:pStyle w:val="1odstavec"/>
      </w:pPr>
      <w:r w:rsidRPr="007F4DB0">
        <w:t>Při řešení otázek, které nejsou upraveny TPD ani Obchodními podmínkami, se postupuje podle ustanovení občanského zákoníku.</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0A974E6F" w14:textId="77777777" w:rsidR="007F4DB0" w:rsidRPr="00D906BE" w:rsidRDefault="007F4DB0" w:rsidP="007F4DB0">
      <w:pPr>
        <w:pStyle w:val="Inadpis"/>
      </w:pPr>
      <w:r w:rsidRPr="00D906BE">
        <w:t>ODPOVĚDNÉ ZADÁVÁNÍ</w:t>
      </w:r>
    </w:p>
    <w:p w14:paraId="69A8B337" w14:textId="77777777" w:rsidR="007F4DB0" w:rsidRDefault="007F4DB0" w:rsidP="007F4DB0">
      <w:pPr>
        <w:pStyle w:val="Odstavecseseznamem"/>
        <w:numPr>
          <w:ilvl w:val="1"/>
          <w:numId w:val="64"/>
        </w:numPr>
        <w:spacing w:before="0" w:after="240"/>
        <w:ind w:left="426" w:hanging="480"/>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2" w:name="_Toc13818469"/>
      <w:bookmarkStart w:id="3" w:name="_Toc7527227"/>
    </w:p>
    <w:p w14:paraId="07F03C58" w14:textId="77777777" w:rsidR="007F4DB0" w:rsidRDefault="007F4DB0" w:rsidP="007F4DB0">
      <w:pPr>
        <w:pStyle w:val="Odstavecseseznamem"/>
        <w:spacing w:after="240"/>
        <w:ind w:left="426" w:right="283"/>
        <w:rPr>
          <w:szCs w:val="18"/>
        </w:rPr>
      </w:pPr>
    </w:p>
    <w:p w14:paraId="2647BD02" w14:textId="77777777" w:rsidR="007F4DB0" w:rsidRDefault="007F4DB0" w:rsidP="007F4DB0">
      <w:pPr>
        <w:pStyle w:val="Odstavecseseznamem"/>
        <w:numPr>
          <w:ilvl w:val="1"/>
          <w:numId w:val="64"/>
        </w:numPr>
        <w:spacing w:before="0" w:after="200" w:line="276" w:lineRule="auto"/>
        <w:rPr>
          <w:szCs w:val="18"/>
        </w:rPr>
      </w:pPr>
      <w:r>
        <w:rPr>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292AC2AE" w14:textId="77777777" w:rsidR="007F4DB0" w:rsidRDefault="007F4DB0" w:rsidP="007F4DB0">
      <w:pPr>
        <w:pStyle w:val="Odstavecseseznamem"/>
        <w:spacing w:after="240"/>
        <w:ind w:left="426"/>
        <w:rPr>
          <w:szCs w:val="18"/>
        </w:rPr>
      </w:pPr>
    </w:p>
    <w:p w14:paraId="687B5597" w14:textId="77777777" w:rsidR="007F4DB0" w:rsidRDefault="007F4DB0" w:rsidP="007F4DB0">
      <w:pPr>
        <w:pStyle w:val="Odstavecseseznamem"/>
        <w:numPr>
          <w:ilvl w:val="1"/>
          <w:numId w:val="64"/>
        </w:numPr>
        <w:spacing w:before="0" w:after="240"/>
        <w:ind w:left="426" w:hanging="480"/>
        <w:rPr>
          <w:szCs w:val="18"/>
        </w:rPr>
      </w:pPr>
      <w:r>
        <w:rPr>
          <w:szCs w:val="18"/>
        </w:rPr>
        <w:t>Prodávající se zavazuje ujednat si s dalšími osobami, které se na jeho straně podílejí</w:t>
      </w:r>
      <w:r>
        <w:rPr>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5E8F6D87" w14:textId="77777777" w:rsidR="007F4DB0" w:rsidRDefault="007F4DB0" w:rsidP="007F4DB0">
      <w:pPr>
        <w:pStyle w:val="Odstavecseseznamem"/>
        <w:spacing w:after="240"/>
        <w:ind w:left="426"/>
        <w:rPr>
          <w:szCs w:val="18"/>
        </w:rPr>
      </w:pPr>
    </w:p>
    <w:p w14:paraId="3F69AE8F" w14:textId="77777777" w:rsidR="007F4DB0" w:rsidRDefault="007F4DB0" w:rsidP="007F4DB0">
      <w:pPr>
        <w:pStyle w:val="Odstavecseseznamem"/>
        <w:numPr>
          <w:ilvl w:val="1"/>
          <w:numId w:val="64"/>
        </w:numPr>
        <w:spacing w:before="0" w:after="240"/>
        <w:ind w:left="426" w:hanging="480"/>
        <w:rPr>
          <w:rFonts w:cstheme="minorHAnsi"/>
          <w:szCs w:val="18"/>
        </w:rPr>
      </w:pPr>
      <w:r>
        <w:rPr>
          <w:szCs w:val="18"/>
        </w:rPr>
        <w:lastRenderedPageBreak/>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2"/>
      <w:bookmarkEnd w:id="3"/>
    </w:p>
    <w:p w14:paraId="164DA9CE" w14:textId="6115FEC1"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5AD6680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94477D">
        <w:t>v</w:t>
      </w:r>
      <w:r w:rsidR="0030101F" w:rsidRPr="0094477D">
        <w:t>e</w:t>
      </w:r>
      <w:r w:rsidR="000A53AE" w:rsidRPr="0094477D">
        <w:t> </w:t>
      </w:r>
      <w:r w:rsidR="000D5413" w:rsidRPr="0094477D">
        <w:t>Výběrovém</w:t>
      </w:r>
      <w:r w:rsidR="000D5413" w:rsidRPr="008B5521">
        <w:t xml:space="preserve"> </w:t>
      </w:r>
      <w:r w:rsidR="000A53AE" w:rsidRPr="008B5521">
        <w:t xml:space="preserve">řízení, doloží </w:t>
      </w:r>
      <w:r w:rsidR="000A53AE" w:rsidRPr="008B5521">
        <w:lastRenderedPageBreak/>
        <w:t>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4382B5D0"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94477D" w:rsidRPr="00CF3ED5">
        <w:t>v</w:t>
      </w:r>
      <w:r w:rsidR="0094477D">
        <w:t>e 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46724253"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C32729">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6ECED439"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04E9">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4"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4"/>
    </w:p>
    <w:p w14:paraId="6A6332A6" w14:textId="30BF274F" w:rsidR="00843A42" w:rsidRPr="00CF3ED5" w:rsidRDefault="00696032" w:rsidP="00EE5AE6">
      <w:pPr>
        <w:pStyle w:val="1odstavec"/>
      </w:pPr>
      <w:r>
        <w:lastRenderedPageBreak/>
        <w:t>Prodávající</w:t>
      </w:r>
      <w:r w:rsidDel="00696032">
        <w:t xml:space="preserve"> </w:t>
      </w:r>
      <w:r w:rsidR="00843A42" w:rsidRPr="00CF3ED5">
        <w:t xml:space="preserve">se dále </w:t>
      </w:r>
      <w:bookmarkStart w:id="5"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5"/>
      <w:r w:rsidR="00843A42" w:rsidRPr="00CF3ED5">
        <w:t>.</w:t>
      </w:r>
    </w:p>
    <w:p w14:paraId="71F75CAE" w14:textId="3E54B007" w:rsidR="009F69B6" w:rsidRPr="0094477D" w:rsidRDefault="00843A42" w:rsidP="0094477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007C3112" w:rsidRPr="00DE7B97">
        <w:t>150</w:t>
      </w:r>
      <w:r w:rsidRPr="00DE7B97">
        <w:t xml:space="preserve">.000,-Kč (slovy </w:t>
      </w:r>
      <w:r w:rsidR="007C3112" w:rsidRPr="00DE7B97">
        <w:t>sto padesát</w:t>
      </w:r>
      <w:r w:rsidRPr="00DE7B97">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lastRenderedPageBreak/>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018D411C" w14:textId="77777777" w:rsidR="007C3112" w:rsidRPr="008B5521" w:rsidRDefault="007C3112" w:rsidP="007C3112">
      <w:pPr>
        <w:pStyle w:val="Plohy"/>
      </w:pPr>
      <w:r w:rsidRPr="008B5521">
        <w:t>Příloha č. 1 – Obchodní podmínky k rámcové dohodě</w:t>
      </w:r>
    </w:p>
    <w:p w14:paraId="230789B1" w14:textId="77777777" w:rsidR="007C3112" w:rsidRPr="008B5521" w:rsidRDefault="007C3112" w:rsidP="007C3112">
      <w:pPr>
        <w:pStyle w:val="Plohy"/>
      </w:pPr>
      <w:r w:rsidRPr="008B5521">
        <w:t xml:space="preserve">Příloha č. 2 – </w:t>
      </w:r>
      <w:r>
        <w:t>Ceník</w:t>
      </w:r>
    </w:p>
    <w:p w14:paraId="733A1FD1" w14:textId="0D0C8CED" w:rsidR="007C3112" w:rsidRDefault="007C3112" w:rsidP="007C3112">
      <w:pPr>
        <w:pStyle w:val="Plohy"/>
      </w:pPr>
      <w:r w:rsidRPr="00EE5AE6">
        <w:t xml:space="preserve">Příloha č. 3 – </w:t>
      </w:r>
      <w:r>
        <w:t>Technické listy</w:t>
      </w:r>
      <w:r w:rsidR="00192544">
        <w:t xml:space="preserve"> (poskytne Prodávající)</w:t>
      </w:r>
    </w:p>
    <w:p w14:paraId="17E39C70" w14:textId="77777777" w:rsidR="007C3112" w:rsidRPr="008B5521" w:rsidRDefault="007C3112" w:rsidP="007C3112">
      <w:pPr>
        <w:pStyle w:val="Plohy"/>
      </w:pPr>
      <w:r w:rsidRPr="008B5521">
        <w:t xml:space="preserve">Příloha č. 4 – Seznam </w:t>
      </w:r>
      <w:r>
        <w:t>dodacích míst</w:t>
      </w:r>
    </w:p>
    <w:p w14:paraId="11F5282B" w14:textId="77777777" w:rsidR="007C3112" w:rsidRPr="008B5521" w:rsidRDefault="007C3112" w:rsidP="007C3112">
      <w:pPr>
        <w:pStyle w:val="Plohy"/>
      </w:pPr>
      <w:r w:rsidRPr="008B5521">
        <w:t xml:space="preserve">Příloha č. </w:t>
      </w:r>
      <w:r>
        <w:t>5</w:t>
      </w:r>
      <w:r w:rsidRPr="008B5521">
        <w:t xml:space="preserve"> – Seznam poddodavatelů</w:t>
      </w:r>
    </w:p>
    <w:p w14:paraId="0512A4EF" w14:textId="77777777" w:rsidR="007C3112" w:rsidRDefault="007C3112" w:rsidP="007C3112">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374E17DA" w14:textId="77777777" w:rsidR="007C3112" w:rsidRDefault="007C3112" w:rsidP="007C3112">
      <w:pPr>
        <w:pStyle w:val="ZaKupujchoprodvajcho"/>
      </w:pPr>
    </w:p>
    <w:p w14:paraId="49F5D46C" w14:textId="77777777" w:rsidR="007C3112" w:rsidRPr="008B5521" w:rsidRDefault="007C3112" w:rsidP="007C3112">
      <w:pPr>
        <w:pStyle w:val="ZaKupujchoprodvajcho"/>
      </w:pPr>
      <w:r w:rsidRPr="008B5521">
        <w:t xml:space="preserve">     </w:t>
      </w:r>
    </w:p>
    <w:p w14:paraId="76E2FEFC" w14:textId="77777777" w:rsidR="007C3112" w:rsidRPr="0019294B" w:rsidRDefault="007C3112" w:rsidP="007C3112">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7D5CFBE2" w14:textId="77777777" w:rsidR="007C3112" w:rsidRPr="0019294B" w:rsidRDefault="007C3112" w:rsidP="007C3112">
      <w:pPr>
        <w:keepNext/>
        <w:keepLines/>
        <w:spacing w:before="0" w:after="0" w:line="276" w:lineRule="auto"/>
        <w:jc w:val="left"/>
        <w:rPr>
          <w:rStyle w:val="Tun"/>
          <w:b w:val="0"/>
        </w:rPr>
      </w:pPr>
      <w:r w:rsidRPr="0019294B">
        <w:rPr>
          <w:rStyle w:val="Tun"/>
          <w:b w:val="0"/>
        </w:rPr>
        <w:t>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88748B">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13D80" w14:textId="77777777" w:rsidR="0088748B" w:rsidRDefault="0088748B" w:rsidP="003706CB">
      <w:pPr>
        <w:spacing w:after="0" w:line="240" w:lineRule="auto"/>
      </w:pPr>
      <w:r>
        <w:separator/>
      </w:r>
    </w:p>
  </w:endnote>
  <w:endnote w:type="continuationSeparator" w:id="0">
    <w:p w14:paraId="1F6596B1" w14:textId="77777777" w:rsidR="0088748B" w:rsidRDefault="0088748B" w:rsidP="003706CB">
      <w:pPr>
        <w:spacing w:after="0" w:line="240" w:lineRule="auto"/>
      </w:pPr>
      <w:r>
        <w:continuationSeparator/>
      </w:r>
    </w:p>
  </w:endnote>
  <w:endnote w:type="continuationNotice" w:id="1">
    <w:p w14:paraId="5D8EC5E0" w14:textId="77777777" w:rsidR="0088748B" w:rsidRDefault="008874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B3A13" w14:textId="77777777" w:rsidR="0088748B" w:rsidRDefault="0088748B" w:rsidP="003706CB">
      <w:pPr>
        <w:spacing w:after="0" w:line="240" w:lineRule="auto"/>
      </w:pPr>
      <w:r>
        <w:separator/>
      </w:r>
    </w:p>
  </w:footnote>
  <w:footnote w:type="continuationSeparator" w:id="0">
    <w:p w14:paraId="4CA226A4" w14:textId="77777777" w:rsidR="0088748B" w:rsidRDefault="0088748B" w:rsidP="003706CB">
      <w:pPr>
        <w:spacing w:after="0" w:line="240" w:lineRule="auto"/>
      </w:pPr>
      <w:r>
        <w:continuationSeparator/>
      </w:r>
    </w:p>
  </w:footnote>
  <w:footnote w:type="continuationNotice" w:id="1">
    <w:p w14:paraId="414CC907" w14:textId="77777777" w:rsidR="0088748B" w:rsidRDefault="008874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2D2077F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multilevel"/>
    <w:tmpl w:val="9B269D4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2"/>
  </w:num>
  <w:num w:numId="2">
    <w:abstractNumId w:val="22"/>
  </w:num>
  <w:num w:numId="3">
    <w:abstractNumId w:val="17"/>
  </w:num>
  <w:num w:numId="4">
    <w:abstractNumId w:val="2"/>
  </w:num>
  <w:num w:numId="5">
    <w:abstractNumId w:val="19"/>
  </w:num>
  <w:num w:numId="6">
    <w:abstractNumId w:val="8"/>
  </w:num>
  <w:num w:numId="7">
    <w:abstractNumId w:val="1"/>
  </w:num>
  <w:num w:numId="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5"/>
  </w:num>
  <w:num w:numId="12">
    <w:abstractNumId w:val="21"/>
  </w:num>
  <w:num w:numId="13">
    <w:abstractNumId w:val="14"/>
  </w:num>
  <w:num w:numId="14">
    <w:abstractNumId w:val="19"/>
  </w:num>
  <w:num w:numId="15">
    <w:abstractNumId w:val="8"/>
  </w:num>
  <w:num w:numId="16">
    <w:abstractNumId w:val="10"/>
  </w:num>
  <w:num w:numId="17">
    <w:abstractNumId w:val="13"/>
  </w:num>
  <w:num w:numId="18">
    <w:abstractNumId w:val="9"/>
  </w:num>
  <w:num w:numId="19">
    <w:abstractNumId w:val="3"/>
  </w:num>
  <w:num w:numId="20">
    <w:abstractNumId w:val="0"/>
  </w:num>
  <w:num w:numId="21">
    <w:abstractNumId w:val="11"/>
  </w:num>
  <w:num w:numId="22">
    <w:abstractNumId w:val="18"/>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4"/>
  </w:num>
  <w:num w:numId="5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num>
  <w:num w:numId="6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2544"/>
    <w:rsid w:val="00194826"/>
    <w:rsid w:val="001A0EC9"/>
    <w:rsid w:val="001A3204"/>
    <w:rsid w:val="001A3DB4"/>
    <w:rsid w:val="001A487E"/>
    <w:rsid w:val="001B06B7"/>
    <w:rsid w:val="001C012F"/>
    <w:rsid w:val="001C01D4"/>
    <w:rsid w:val="001C7A89"/>
    <w:rsid w:val="001C7FC3"/>
    <w:rsid w:val="001D394C"/>
    <w:rsid w:val="001D65ED"/>
    <w:rsid w:val="001D78A4"/>
    <w:rsid w:val="001E20FA"/>
    <w:rsid w:val="001F3F33"/>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3B29"/>
    <w:rsid w:val="002C4F9C"/>
    <w:rsid w:val="002C50C8"/>
    <w:rsid w:val="002C5B14"/>
    <w:rsid w:val="002C635F"/>
    <w:rsid w:val="002C6544"/>
    <w:rsid w:val="002D5D10"/>
    <w:rsid w:val="002D5EE8"/>
    <w:rsid w:val="002E7C9A"/>
    <w:rsid w:val="0030101F"/>
    <w:rsid w:val="00303F31"/>
    <w:rsid w:val="00306FC6"/>
    <w:rsid w:val="00310D7B"/>
    <w:rsid w:val="003120FE"/>
    <w:rsid w:val="00312CAC"/>
    <w:rsid w:val="00324DFF"/>
    <w:rsid w:val="003343F5"/>
    <w:rsid w:val="00342BE3"/>
    <w:rsid w:val="00346D6A"/>
    <w:rsid w:val="003509D2"/>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0435"/>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44144"/>
    <w:rsid w:val="00544B8E"/>
    <w:rsid w:val="00546176"/>
    <w:rsid w:val="00560216"/>
    <w:rsid w:val="00562A02"/>
    <w:rsid w:val="00563670"/>
    <w:rsid w:val="005647C4"/>
    <w:rsid w:val="00565B3E"/>
    <w:rsid w:val="00566F57"/>
    <w:rsid w:val="005675BC"/>
    <w:rsid w:val="00570C8D"/>
    <w:rsid w:val="00572B36"/>
    <w:rsid w:val="00574368"/>
    <w:rsid w:val="00576A2A"/>
    <w:rsid w:val="0058567D"/>
    <w:rsid w:val="005962BE"/>
    <w:rsid w:val="0059769D"/>
    <w:rsid w:val="005A40FB"/>
    <w:rsid w:val="005A4E1A"/>
    <w:rsid w:val="005C0F02"/>
    <w:rsid w:val="005C1AF3"/>
    <w:rsid w:val="005C64B7"/>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1051"/>
    <w:rsid w:val="00672030"/>
    <w:rsid w:val="00672D80"/>
    <w:rsid w:val="00675602"/>
    <w:rsid w:val="00677F40"/>
    <w:rsid w:val="0068035D"/>
    <w:rsid w:val="00681F22"/>
    <w:rsid w:val="0068231E"/>
    <w:rsid w:val="00683467"/>
    <w:rsid w:val="006848CF"/>
    <w:rsid w:val="00685D2E"/>
    <w:rsid w:val="00687186"/>
    <w:rsid w:val="00696032"/>
    <w:rsid w:val="006A2D61"/>
    <w:rsid w:val="006A488A"/>
    <w:rsid w:val="006A4A0B"/>
    <w:rsid w:val="006C21B2"/>
    <w:rsid w:val="006C3217"/>
    <w:rsid w:val="006D1ACE"/>
    <w:rsid w:val="006D2C0C"/>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E48"/>
    <w:rsid w:val="007804E9"/>
    <w:rsid w:val="00781A98"/>
    <w:rsid w:val="0078646A"/>
    <w:rsid w:val="007A1D6A"/>
    <w:rsid w:val="007A3036"/>
    <w:rsid w:val="007A7666"/>
    <w:rsid w:val="007A7E29"/>
    <w:rsid w:val="007B2AB1"/>
    <w:rsid w:val="007C1338"/>
    <w:rsid w:val="007C3112"/>
    <w:rsid w:val="007C320A"/>
    <w:rsid w:val="007C5684"/>
    <w:rsid w:val="007C6153"/>
    <w:rsid w:val="007E11A3"/>
    <w:rsid w:val="007E2B43"/>
    <w:rsid w:val="007E3252"/>
    <w:rsid w:val="007E6C88"/>
    <w:rsid w:val="007F03C6"/>
    <w:rsid w:val="007F062A"/>
    <w:rsid w:val="007F0F0A"/>
    <w:rsid w:val="007F1A30"/>
    <w:rsid w:val="007F2C74"/>
    <w:rsid w:val="007F3E0C"/>
    <w:rsid w:val="007F4DB0"/>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8748B"/>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4477D"/>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54DD4"/>
    <w:rsid w:val="00A55DB1"/>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32729"/>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7514"/>
    <w:rsid w:val="00DE5EFD"/>
    <w:rsid w:val="00DE7B97"/>
    <w:rsid w:val="00DF104A"/>
    <w:rsid w:val="00DF38A2"/>
    <w:rsid w:val="00DF57ED"/>
    <w:rsid w:val="00DF61E5"/>
    <w:rsid w:val="00E003B8"/>
    <w:rsid w:val="00E01062"/>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62"/>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62"/>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4CC1C551-9B10-455B-BD9A-3A4A281B5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4129</Words>
  <Characters>24364</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9</cp:revision>
  <cp:lastPrinted>2024-03-18T13:03:00Z</cp:lastPrinted>
  <dcterms:created xsi:type="dcterms:W3CDTF">2024-03-13T11:54:00Z</dcterms:created>
  <dcterms:modified xsi:type="dcterms:W3CDTF">2024-03-18T13:03:00Z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